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5E502F18" w:rsidR="00833802" w:rsidRPr="00D10D42" w:rsidRDefault="00D10D42" w:rsidP="00F773B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D42">
              <w:rPr>
                <w:rFonts w:ascii="Arial" w:hAnsi="Arial" w:cs="Arial"/>
                <w:b/>
                <w:bCs/>
                <w:sz w:val="22"/>
                <w:szCs w:val="22"/>
              </w:rPr>
              <w:t>Městský úřad Vroutek</w:t>
            </w: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BE4BC" w14:textId="77777777" w:rsidR="002428B6" w:rsidRDefault="002428B6" w:rsidP="00533A7A">
      <w:r>
        <w:separator/>
      </w:r>
    </w:p>
  </w:endnote>
  <w:endnote w:type="continuationSeparator" w:id="0">
    <w:p w14:paraId="581619DE" w14:textId="77777777" w:rsidR="002428B6" w:rsidRDefault="002428B6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6C039" w14:textId="77777777" w:rsidR="002428B6" w:rsidRDefault="002428B6" w:rsidP="00533A7A">
      <w:r>
        <w:separator/>
      </w:r>
    </w:p>
  </w:footnote>
  <w:footnote w:type="continuationSeparator" w:id="0">
    <w:p w14:paraId="7E27FD7F" w14:textId="77777777" w:rsidR="002428B6" w:rsidRDefault="002428B6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428B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1576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0D42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CAGASOVA</cp:lastModifiedBy>
  <cp:revision>18</cp:revision>
  <cp:lastPrinted>2024-07-25T08:31:00Z</cp:lastPrinted>
  <dcterms:created xsi:type="dcterms:W3CDTF">2022-10-18T11:31:00Z</dcterms:created>
  <dcterms:modified xsi:type="dcterms:W3CDTF">2024-08-01T11:42:00Z</dcterms:modified>
</cp:coreProperties>
</file>